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FC14" w14:textId="77777777" w:rsidR="008C13A9" w:rsidRPr="00A314FE" w:rsidRDefault="008C13A9" w:rsidP="008C13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b/>
          <w:bCs/>
          <w:sz w:val="24"/>
          <w:szCs w:val="24"/>
          <w:lang w:val="pt-BR"/>
        </w:rPr>
        <w:t>Procedură internă</w:t>
      </w:r>
    </w:p>
    <w:p w14:paraId="375C54C5" w14:textId="75940F5C" w:rsidR="008C13A9" w:rsidRPr="00A314FE" w:rsidRDefault="008C13A9" w:rsidP="008C13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privind numirea </w:t>
      </w:r>
      <w:r w:rsidR="00F00783">
        <w:rPr>
          <w:rFonts w:ascii="Times New Roman" w:hAnsi="Times New Roman" w:cs="Times New Roman"/>
          <w:b/>
          <w:bCs/>
          <w:sz w:val="24"/>
          <w:szCs w:val="24"/>
          <w:lang w:val="pt-BR"/>
        </w:rPr>
        <w:t>președintelui și vicepreședintelui</w:t>
      </w:r>
      <w:r w:rsidRPr="00A314F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Consiliului de monitorizare</w:t>
      </w:r>
    </w:p>
    <w:p w14:paraId="6C2CEAAC" w14:textId="77777777" w:rsidR="008C13A9" w:rsidRPr="00A314FE" w:rsidRDefault="008C13A9" w:rsidP="008C13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b/>
          <w:bCs/>
          <w:sz w:val="24"/>
          <w:szCs w:val="24"/>
          <w:lang w:val="pt-BR"/>
        </w:rPr>
        <w:t>(Mecanismul de coordonare a măsurilor pentru implementarea Convenției privind drepturile persoanelor cu dizabilități, conform Legii nr. 8/2016)</w:t>
      </w:r>
    </w:p>
    <w:p w14:paraId="1233B1E9" w14:textId="77777777" w:rsidR="008C13A9" w:rsidRPr="00A314FE" w:rsidRDefault="008C13A9" w:rsidP="008C13A9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2B0D349" w14:textId="3D032F27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Prezenta procedură internă reglementează modul în care Comisia pentru drepturile omului, egalitate de șanse, culte și minorități din Senatul României (denumită în continuare „Comisia”) își exercită atribuțiile privind numirea </w:t>
      </w:r>
      <w:r w:rsidR="00F00783">
        <w:rPr>
          <w:rFonts w:ascii="Times New Roman" w:hAnsi="Times New Roman" w:cs="Times New Roman"/>
          <w:sz w:val="24"/>
          <w:szCs w:val="24"/>
          <w:lang w:val="pt-BR"/>
        </w:rPr>
        <w:t>președintelui și vicepreședintelui</w:t>
      </w: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 Consiliului de monitorizare a implementării Convenției privind drepturile persoanelor cu dizabilități, potrivit dispozițiilor Legii nr. 8/2016 și regulamentelor parlamentare aplicabile.</w:t>
      </w:r>
    </w:p>
    <w:p w14:paraId="64A68669" w14:textId="79C3874A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Această procedură se aplică oricărei situații în care funcția de vicepreședinte al Consiliului de monitorizare devine vacantă, în condițiile prevăzute la art. 5 și art. 7 din Legea nr. 8/2016.</w:t>
      </w:r>
    </w:p>
    <w:p w14:paraId="2922B563" w14:textId="5D2A284D" w:rsidR="008C13A9" w:rsidRPr="00A314FE" w:rsidRDefault="008C13A9" w:rsidP="00626F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b/>
          <w:bCs/>
          <w:sz w:val="24"/>
          <w:szCs w:val="24"/>
          <w:lang w:val="pt-BR"/>
        </w:rPr>
        <w:t>Cadrul legal</w:t>
      </w:r>
    </w:p>
    <w:p w14:paraId="33955B60" w14:textId="7BCD84C2" w:rsidR="008C13A9" w:rsidRPr="00A314FE" w:rsidRDefault="008C13A9" w:rsidP="00626F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Legea nr. 8/2016 privind înființarea mecanismelor prevăzute de Convenția privind drepturile persoanelor cu dizabilități, cu modificările și completările ulterioare;</w:t>
      </w:r>
    </w:p>
    <w:p w14:paraId="03DF4580" w14:textId="699347D1" w:rsidR="008C13A9" w:rsidRPr="00A314FE" w:rsidRDefault="008C13A9" w:rsidP="00626F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Regulamentul Senatului României;</w:t>
      </w:r>
    </w:p>
    <w:p w14:paraId="2779E7E3" w14:textId="3E57BBE9" w:rsidR="008C13A9" w:rsidRPr="00A314FE" w:rsidRDefault="008C13A9" w:rsidP="00626F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Orice alte dispoziții legale incidente.</w:t>
      </w:r>
    </w:p>
    <w:p w14:paraId="0AC1C5A3" w14:textId="77777777" w:rsidR="008C13A9" w:rsidRPr="00A314FE" w:rsidRDefault="008C13A9" w:rsidP="00626F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b/>
          <w:bCs/>
          <w:sz w:val="24"/>
          <w:szCs w:val="24"/>
          <w:lang w:val="pt-BR"/>
        </w:rPr>
        <w:t>Principii</w:t>
      </w:r>
    </w:p>
    <w:p w14:paraId="7551EC78" w14:textId="77777777" w:rsidR="008C13A9" w:rsidRPr="00A314FE" w:rsidRDefault="008C13A9" w:rsidP="00626F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Legalitate și respectarea drepturilor omului;</w:t>
      </w:r>
    </w:p>
    <w:p w14:paraId="62E9C030" w14:textId="77777777" w:rsidR="008C13A9" w:rsidRPr="00A314FE" w:rsidRDefault="008C13A9" w:rsidP="00626F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Nediferențiere și egalitate de șanse;</w:t>
      </w:r>
    </w:p>
    <w:p w14:paraId="3C7ED05F" w14:textId="77777777" w:rsidR="008C13A9" w:rsidRPr="00A314FE" w:rsidRDefault="008C13A9" w:rsidP="00626F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Transparență a procesului decizional;</w:t>
      </w:r>
    </w:p>
    <w:p w14:paraId="680CABAB" w14:textId="77777777" w:rsidR="008C13A9" w:rsidRPr="00A314FE" w:rsidRDefault="008C13A9" w:rsidP="00626F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Independenta și imparțialitatea evaluării;</w:t>
      </w:r>
    </w:p>
    <w:p w14:paraId="4922B32F" w14:textId="77777777" w:rsidR="008C13A9" w:rsidRPr="00A314FE" w:rsidRDefault="008C13A9" w:rsidP="00626F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Implicarea organizațiilor neguvernamentale care reprezintă persoanele cu dizabilități.</w:t>
      </w:r>
    </w:p>
    <w:p w14:paraId="7AC49CD4" w14:textId="46373500" w:rsidR="008C13A9" w:rsidRPr="00A314FE" w:rsidRDefault="00A314FE" w:rsidP="00626F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E</w:t>
      </w:r>
      <w:r w:rsidRPr="00A314FE">
        <w:rPr>
          <w:rFonts w:ascii="Times New Roman" w:hAnsi="Times New Roman" w:cs="Times New Roman"/>
          <w:b/>
          <w:bCs/>
          <w:sz w:val="24"/>
          <w:szCs w:val="24"/>
          <w:lang w:val="pt-BR"/>
        </w:rPr>
        <w:t>tapele procesului de numire</w:t>
      </w:r>
    </w:p>
    <w:p w14:paraId="4E3336E5" w14:textId="508BA582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1. La data de 24 februarie 2025 Biroul permanent al Senatului a luat act de încetarea mandatului domnului Gheorghe Aștileanu și a hotărât declanșarea procedurilor parlamentare în vederea numirii unui nou vicepreședinte al Consiliului de monitorizare.</w:t>
      </w:r>
    </w:p>
    <w:p w14:paraId="48A9A7AF" w14:textId="069F701F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2. Anunțul privind declanșarea procedurii de numire a </w:t>
      </w:r>
      <w:r w:rsidR="00F00783">
        <w:rPr>
          <w:rFonts w:ascii="Times New Roman" w:hAnsi="Times New Roman" w:cs="Times New Roman"/>
          <w:sz w:val="24"/>
          <w:szCs w:val="24"/>
          <w:lang w:val="pt-BR"/>
        </w:rPr>
        <w:t>președintelui și vicepreședintelui</w:t>
      </w: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 Consiliului de monitorizare, precum și termenul de depunere a candidaturilor, a fost publicat la data de 24 februarie 2025, pe site-ul Senatului României și la avizierul Biroului permanent.</w:t>
      </w:r>
    </w:p>
    <w:p w14:paraId="47619AE4" w14:textId="607A0BDB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lastRenderedPageBreak/>
        <w:t>3.  Termenul limită pentru depunerea candidaturilor este  21 martie 2025.</w:t>
      </w:r>
    </w:p>
    <w:p w14:paraId="75B0F518" w14:textId="77777777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Conform art. 5 din Legea nr. 8/2016, organizațiile neguvernamentale care desfășoară programe de apărare a drepturilor persoanelor cu dizabilități și organizațiile neguvernamentale care reprezintă persoanele cu dizabilități pot transmite Biroului permanent al Senatului propuneri de candidaturi.</w:t>
      </w:r>
    </w:p>
    <w:p w14:paraId="20B7829F" w14:textId="432625B6" w:rsidR="008C13A9" w:rsidRPr="00A314FE" w:rsidRDefault="008C13A9" w:rsidP="00626F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Documente necesare (conform art. 5 alin. (4) din Legea nr. 8/2016):</w:t>
      </w:r>
    </w:p>
    <w:p w14:paraId="3B1ACCA1" w14:textId="77777777" w:rsidR="008C13A9" w:rsidRPr="00A314FE" w:rsidRDefault="008C13A9" w:rsidP="00626F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Curriculum Vitae al candidatului;</w:t>
      </w:r>
    </w:p>
    <w:p w14:paraId="0E28FF2E" w14:textId="77777777" w:rsidR="008C13A9" w:rsidRPr="00A314FE" w:rsidRDefault="008C13A9" w:rsidP="00626F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Proiect al candidatului privind aplicarea efectivă a prevederilor Legii nr. 8/2016 și a Convenției privind drepturile persoanelor cu dizabilități;</w:t>
      </w:r>
    </w:p>
    <w:p w14:paraId="55D22E26" w14:textId="77777777" w:rsidR="008C13A9" w:rsidRPr="00A314FE" w:rsidRDefault="008C13A9" w:rsidP="00626F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Scrisoare de propunere din partea organizației neguvernamentale;</w:t>
      </w:r>
    </w:p>
    <w:p w14:paraId="7B41489C" w14:textId="68BFCB50" w:rsidR="008C13A9" w:rsidRPr="00A314FE" w:rsidRDefault="008C13A9" w:rsidP="00626F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Recomandări privind expertiza candidatului în domeniul apărării drepturilor persoanelor cu dizabilități.</w:t>
      </w:r>
    </w:p>
    <w:p w14:paraId="57D8F09C" w14:textId="3AB8249A" w:rsidR="008C13A9" w:rsidRPr="00A314FE" w:rsidRDefault="008C13A9" w:rsidP="00626F22">
      <w:pPr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5. Depunerea candidaturilor se poate realiza fizic, la sediul Senatului, Serviciul pentru lucrările Biroului permanent (de luni până joi, în intervalul 08:00-16:30) sau online, pe adresa de e-mail </w:t>
      </w:r>
      <w:hyperlink r:id="rId7" w:history="1">
        <w:r w:rsidRPr="00A314F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bp@senat.ro</w:t>
        </w:r>
      </w:hyperlink>
      <w:r w:rsidRPr="00A314FE">
        <w:rPr>
          <w:rFonts w:ascii="Times New Roman" w:hAnsi="Times New Roman" w:cs="Times New Roman"/>
          <w:sz w:val="24"/>
          <w:szCs w:val="24"/>
          <w:lang w:val="pt-BR"/>
        </w:rPr>
        <w:t>. Număr de telefon pentru detalii: 021.414.25.42.</w:t>
      </w:r>
    </w:p>
    <w:p w14:paraId="0E6C2718" w14:textId="3DD29645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6. După împlinirea termenului de 21 martie 2025, </w:t>
      </w:r>
      <w:r w:rsidR="004C3AB3">
        <w:rPr>
          <w:rFonts w:ascii="Times New Roman" w:hAnsi="Times New Roman" w:cs="Times New Roman"/>
          <w:sz w:val="24"/>
          <w:szCs w:val="24"/>
          <w:lang w:val="pt-BR"/>
        </w:rPr>
        <w:t xml:space="preserve">Biroul permanent trimite </w:t>
      </w:r>
      <w:r w:rsidRPr="00A314FE">
        <w:rPr>
          <w:rFonts w:ascii="Times New Roman" w:hAnsi="Times New Roman" w:cs="Times New Roman"/>
          <w:sz w:val="24"/>
          <w:szCs w:val="24"/>
          <w:lang w:val="pt-BR"/>
        </w:rPr>
        <w:t>dosarele de candidatură primite Comisiei pentru drepturile omului, egalitate de șanse, culte și minorități.</w:t>
      </w:r>
    </w:p>
    <w:p w14:paraId="66248FB2" w14:textId="78A96A1F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7. Secretariatul Comisiei verifică îndeplinirea criteriilor de eligibilitate, potrivit art. 6 din Legea nr. 8/2016:</w:t>
      </w:r>
    </w:p>
    <w:p w14:paraId="23A9808C" w14:textId="77777777" w:rsidR="008C13A9" w:rsidRPr="00A314FE" w:rsidRDefault="008C13A9" w:rsidP="00626F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Capacitate deplină de exercițiu;</w:t>
      </w:r>
    </w:p>
    <w:p w14:paraId="38B54F61" w14:textId="77777777" w:rsidR="008C13A9" w:rsidRPr="00A314FE" w:rsidRDefault="008C13A9" w:rsidP="00626F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Studii superioare absolvite cu diplomă de licență;</w:t>
      </w:r>
    </w:p>
    <w:p w14:paraId="1EB311E2" w14:textId="77777777" w:rsidR="008C13A9" w:rsidRPr="00A314FE" w:rsidRDefault="008C13A9" w:rsidP="00626F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Expertiză în domeniul drepturilor persoanelor cu dizabilități.</w:t>
      </w:r>
    </w:p>
    <w:p w14:paraId="56C1D62E" w14:textId="44157C41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8. Audierea candidaților și întocmirea avizului Comisiei</w:t>
      </w:r>
    </w:p>
    <w:p w14:paraId="42B6BEA3" w14:textId="2DD3FA2D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În data de 2 aprilie 2025 Comisia organizează o ședință publică de audiere, la care sunt invitați toți candidații eligibili.</w:t>
      </w:r>
    </w:p>
    <w:p w14:paraId="77BC445C" w14:textId="77777777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Fiecare candidat își prezintă proiectul și răspunde întrebărilor membrilor Comisiei.</w:t>
      </w:r>
    </w:p>
    <w:p w14:paraId="7CB859BB" w14:textId="2FB35C55" w:rsidR="00160B1D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După finalizarea audierilor, Comisia </w:t>
      </w:r>
      <w:r w:rsidR="00160B1D" w:rsidRPr="00A314FE">
        <w:rPr>
          <w:rFonts w:ascii="Times New Roman" w:hAnsi="Times New Roman" w:cs="Times New Roman"/>
          <w:sz w:val="24"/>
          <w:szCs w:val="24"/>
          <w:lang w:val="pt-BR"/>
        </w:rPr>
        <w:t>va evalua candidații iar ședința de deliberare și votul secret, pe buletine de vot, se va desfășura în ședință închisă;</w:t>
      </w:r>
    </w:p>
    <w:p w14:paraId="291A67B3" w14:textId="77777777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Avizul Comisiei, însoțit de documentația aferentă, este înaintat Biroului permanent al Senatului.</w:t>
      </w:r>
    </w:p>
    <w:p w14:paraId="75091517" w14:textId="48FBE232" w:rsidR="008C13A9" w:rsidRPr="00A314FE" w:rsidRDefault="00160B1D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8C13A9" w:rsidRPr="00A314FE">
        <w:rPr>
          <w:rFonts w:ascii="Times New Roman" w:hAnsi="Times New Roman" w:cs="Times New Roman"/>
          <w:sz w:val="24"/>
          <w:szCs w:val="24"/>
          <w:lang w:val="pt-BR"/>
        </w:rPr>
        <w:t>. Dezbaterea și votul în plenul Senatului</w:t>
      </w:r>
    </w:p>
    <w:p w14:paraId="250BE24D" w14:textId="1224F3A0" w:rsidR="008C13A9" w:rsidRPr="00A314FE" w:rsidRDefault="00160B1D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lastRenderedPageBreak/>
        <w:t>Avizul va fi înscris</w:t>
      </w:r>
      <w:r w:rsidR="008C13A9"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 pe ordinea de zi</w:t>
      </w: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 din data</w:t>
      </w:r>
      <w:r w:rsidR="008C13A9"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 7 aprilie 2025 (conform deciziei Biroului permanent)</w:t>
      </w: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C13A9" w:rsidRPr="00A314FE">
        <w:rPr>
          <w:rFonts w:ascii="Times New Roman" w:hAnsi="Times New Roman" w:cs="Times New Roman"/>
          <w:sz w:val="24"/>
          <w:szCs w:val="24"/>
          <w:lang w:val="pt-BR"/>
        </w:rPr>
        <w:t>pe Ordinea de zi a plenului Senatului.</w:t>
      </w:r>
    </w:p>
    <w:p w14:paraId="53F56B61" w14:textId="2C3578E7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În plen, </w:t>
      </w:r>
      <w:r w:rsidR="00160B1D" w:rsidRPr="00A314FE">
        <w:rPr>
          <w:rFonts w:ascii="Times New Roman" w:hAnsi="Times New Roman" w:cs="Times New Roman"/>
          <w:sz w:val="24"/>
          <w:szCs w:val="24"/>
          <w:lang w:val="pt-BR"/>
        </w:rPr>
        <w:t>avizul este</w:t>
      </w: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 supus votului senatorilor, în conformitate cu Regulamentul Senatului.</w:t>
      </w:r>
    </w:p>
    <w:p w14:paraId="0925460D" w14:textId="77777777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Candidatul care obține votul majoritar este declarat vicepreședinte al Consiliului de monitorizare; Senatul va adopta o Hotărâre în acest sens, publicată ulterior în Monitorul Oficial al României.</w:t>
      </w:r>
    </w:p>
    <w:p w14:paraId="75FD2415" w14:textId="5C8CCBAE" w:rsidR="008C13A9" w:rsidRPr="00A314FE" w:rsidRDefault="00A314FE" w:rsidP="00626F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A314FE">
        <w:rPr>
          <w:rFonts w:ascii="Times New Roman" w:hAnsi="Times New Roman" w:cs="Times New Roman"/>
          <w:b/>
          <w:bCs/>
          <w:sz w:val="24"/>
          <w:szCs w:val="24"/>
          <w:lang w:val="pt-BR"/>
        </w:rPr>
        <w:t>riterii de eligibilitate</w:t>
      </w:r>
    </w:p>
    <w:p w14:paraId="0B5E1EC9" w14:textId="77777777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Potrivit art. 6 din Legea nr. 8/2016, poate fi numită vicepreședinte al Consiliului de monitorizare orice persoană care:</w:t>
      </w:r>
    </w:p>
    <w:p w14:paraId="2127A354" w14:textId="77777777" w:rsidR="008C13A9" w:rsidRPr="00A314FE" w:rsidRDefault="008C13A9" w:rsidP="00626F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Are capacitate deplină de exercițiu;</w:t>
      </w:r>
    </w:p>
    <w:p w14:paraId="08B17F59" w14:textId="77777777" w:rsidR="008C13A9" w:rsidRPr="00A314FE" w:rsidRDefault="008C13A9" w:rsidP="00626F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Are studii superioare absolvite cu diplomă de licență;</w:t>
      </w:r>
    </w:p>
    <w:p w14:paraId="1C6F24CB" w14:textId="77777777" w:rsidR="008C13A9" w:rsidRPr="00A314FE" w:rsidRDefault="008C13A9" w:rsidP="00626F2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Are expertiză în domeniul drepturilor omului, în mod special privind drepturile persoanelor cu dizabilități.</w:t>
      </w:r>
    </w:p>
    <w:p w14:paraId="5FE796D6" w14:textId="35D08588" w:rsidR="008C13A9" w:rsidRPr="00A314FE" w:rsidRDefault="00A314FE" w:rsidP="00626F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P</w:t>
      </w:r>
      <w:r w:rsidRPr="00A314F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revederi despre contestarea </w:t>
      </w:r>
      <w:r w:rsidR="00160B1D" w:rsidRPr="00A314FE">
        <w:rPr>
          <w:rFonts w:ascii="Times New Roman" w:hAnsi="Times New Roman" w:cs="Times New Roman"/>
          <w:b/>
          <w:bCs/>
          <w:sz w:val="24"/>
          <w:szCs w:val="24"/>
          <w:lang w:val="pt-BR"/>
        </w:rPr>
        <w:t>unui candidat</w:t>
      </w:r>
      <w:r w:rsidR="00160B1D"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60B1D" w:rsidRPr="00A314FE">
        <w:rPr>
          <w:rFonts w:ascii="Times New Roman" w:hAnsi="Times New Roman" w:cs="Times New Roman"/>
          <w:b/>
          <w:bCs/>
          <w:sz w:val="24"/>
          <w:szCs w:val="24"/>
          <w:lang w:val="pt-BR"/>
        </w:rPr>
        <w:t>la nivelul Comisiei</w:t>
      </w:r>
    </w:p>
    <w:p w14:paraId="699134F7" w14:textId="2F434669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Oric</w:t>
      </w:r>
      <w:r w:rsidR="00160B1D"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ine </w:t>
      </w: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poate înainta o contestație scrisă către Comisie, în termen de 48 de ore de la </w:t>
      </w:r>
      <w:r w:rsidR="00160B1D" w:rsidRPr="00A314FE">
        <w:rPr>
          <w:rFonts w:ascii="Times New Roman" w:hAnsi="Times New Roman" w:cs="Times New Roman"/>
          <w:sz w:val="24"/>
          <w:szCs w:val="24"/>
          <w:lang w:val="pt-BR"/>
        </w:rPr>
        <w:t>primirea dosarelor candidatilor</w:t>
      </w:r>
      <w:r w:rsidR="00A314FE">
        <w:rPr>
          <w:rFonts w:ascii="Times New Roman" w:hAnsi="Times New Roman" w:cs="Times New Roman"/>
          <w:sz w:val="24"/>
          <w:szCs w:val="24"/>
          <w:lang w:val="pt-BR"/>
        </w:rPr>
        <w:t xml:space="preserve"> de la Biroul permanent al Senatului.</w:t>
      </w:r>
    </w:p>
    <w:p w14:paraId="02A9C565" w14:textId="77777777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Comisia analizează contestația și emite un răspuns motivat.</w:t>
      </w:r>
    </w:p>
    <w:p w14:paraId="0D337627" w14:textId="15E47056" w:rsidR="008C13A9" w:rsidRPr="00A314FE" w:rsidRDefault="00A314FE" w:rsidP="00626F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A314FE">
        <w:rPr>
          <w:rFonts w:ascii="Times New Roman" w:hAnsi="Times New Roman" w:cs="Times New Roman"/>
          <w:b/>
          <w:bCs/>
          <w:sz w:val="24"/>
          <w:szCs w:val="24"/>
          <w:lang w:val="pt-BR"/>
        </w:rPr>
        <w:t>ispoziții finale</w:t>
      </w:r>
    </w:p>
    <w:p w14:paraId="0A4863F4" w14:textId="7D596156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Mandatul </w:t>
      </w:r>
      <w:r w:rsidR="00F00783">
        <w:rPr>
          <w:rFonts w:ascii="Times New Roman" w:hAnsi="Times New Roman" w:cs="Times New Roman"/>
          <w:sz w:val="24"/>
          <w:szCs w:val="24"/>
          <w:lang w:val="pt-BR"/>
        </w:rPr>
        <w:t>președintelui și vicepreședintelui</w:t>
      </w:r>
      <w:r w:rsidRPr="00A314FE">
        <w:rPr>
          <w:rFonts w:ascii="Times New Roman" w:hAnsi="Times New Roman" w:cs="Times New Roman"/>
          <w:sz w:val="24"/>
          <w:szCs w:val="24"/>
          <w:lang w:val="pt-BR"/>
        </w:rPr>
        <w:t xml:space="preserve"> Consiliului de monitorizare este de 4 ani și poate fi reînnoit o singură dată, în conformitate cu art. 5 alin. (6) din Legea nr. 8/2016.</w:t>
      </w:r>
    </w:p>
    <w:p w14:paraId="162F3A72" w14:textId="77777777" w:rsidR="008C13A9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Vicepreședintele poate fi revocat din funcție doar în condițiile art. 7 din Legea nr. 8/2016 (demisie, incapacitate, condamnare penală definitivă, neîndeplinirea criteriilor etc.).</w:t>
      </w:r>
    </w:p>
    <w:p w14:paraId="4DAC1122" w14:textId="2CE1E0BC" w:rsidR="00924158" w:rsidRPr="00A314FE" w:rsidRDefault="008C13A9" w:rsidP="00626F2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4FE">
        <w:rPr>
          <w:rFonts w:ascii="Times New Roman" w:hAnsi="Times New Roman" w:cs="Times New Roman"/>
          <w:sz w:val="24"/>
          <w:szCs w:val="24"/>
          <w:lang w:val="pt-BR"/>
        </w:rPr>
        <w:t>Prezenta procedură se completează cu dispozițiile legale și regulamentare aplicabile.</w:t>
      </w:r>
    </w:p>
    <w:sectPr w:rsidR="00924158" w:rsidRPr="00A314F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072A" w14:textId="77777777" w:rsidR="002F2805" w:rsidRDefault="002F2805" w:rsidP="00626F22">
      <w:pPr>
        <w:spacing w:after="0" w:line="240" w:lineRule="auto"/>
      </w:pPr>
      <w:r>
        <w:separator/>
      </w:r>
    </w:p>
  </w:endnote>
  <w:endnote w:type="continuationSeparator" w:id="0">
    <w:p w14:paraId="39E29EC2" w14:textId="77777777" w:rsidR="002F2805" w:rsidRDefault="002F2805" w:rsidP="0062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72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879E4D" w14:textId="45A49560" w:rsidR="00626F22" w:rsidRDefault="00626F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549877" w14:textId="77777777" w:rsidR="00626F22" w:rsidRDefault="00626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66466" w14:textId="77777777" w:rsidR="002F2805" w:rsidRDefault="002F2805" w:rsidP="00626F22">
      <w:pPr>
        <w:spacing w:after="0" w:line="240" w:lineRule="auto"/>
      </w:pPr>
      <w:bookmarkStart w:id="0" w:name="_Hlk191569525"/>
      <w:bookmarkEnd w:id="0"/>
      <w:r>
        <w:separator/>
      </w:r>
    </w:p>
  </w:footnote>
  <w:footnote w:type="continuationSeparator" w:id="0">
    <w:p w14:paraId="75CE0915" w14:textId="77777777" w:rsidR="002F2805" w:rsidRDefault="002F2805" w:rsidP="0062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D904" w14:textId="77777777" w:rsidR="001C007A" w:rsidRDefault="00626F22" w:rsidP="00626F22">
    <w:pPr>
      <w:pStyle w:val="Header"/>
      <w:jc w:val="center"/>
      <w:rPr>
        <w:b/>
        <w:lang w:val="ro-RO"/>
      </w:rPr>
    </w:pPr>
    <w:bookmarkStart w:id="1" w:name="_Hlk191569362"/>
    <w:r w:rsidRPr="00626F22">
      <w:rPr>
        <w:b/>
        <w:noProof/>
        <w:lang w:val="ro-RO"/>
      </w:rPr>
      <w:drawing>
        <wp:inline distT="0" distB="0" distL="0" distR="0" wp14:anchorId="1F1C91CE" wp14:editId="2612539F">
          <wp:extent cx="2371725" cy="1476375"/>
          <wp:effectExtent l="0" t="0" r="9525" b="9525"/>
          <wp:docPr id="39584263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DF307B" w14:textId="7D661EE9" w:rsidR="00626F22" w:rsidRPr="00626F22" w:rsidRDefault="00626F22" w:rsidP="00626F22">
    <w:pPr>
      <w:pStyle w:val="Header"/>
      <w:jc w:val="center"/>
      <w:rPr>
        <w:lang w:val="pt-BR"/>
      </w:rPr>
    </w:pPr>
    <w:r w:rsidRPr="00626F22">
      <w:rPr>
        <w:b/>
        <w:lang w:val="ro-RO"/>
      </w:rPr>
      <w:t>Comisia pentru drepturile omului, egalitate de șanse, culte şi minorităţi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4277"/>
    <w:multiLevelType w:val="hybridMultilevel"/>
    <w:tmpl w:val="0D2C9C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07514"/>
    <w:multiLevelType w:val="hybridMultilevel"/>
    <w:tmpl w:val="9BFC8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B1C8B"/>
    <w:multiLevelType w:val="hybridMultilevel"/>
    <w:tmpl w:val="BB7E8748"/>
    <w:lvl w:ilvl="0" w:tplc="A9385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2378E"/>
    <w:multiLevelType w:val="hybridMultilevel"/>
    <w:tmpl w:val="192AD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84667"/>
    <w:multiLevelType w:val="hybridMultilevel"/>
    <w:tmpl w:val="0ABE8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5694D"/>
    <w:multiLevelType w:val="hybridMultilevel"/>
    <w:tmpl w:val="F60810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3453">
    <w:abstractNumId w:val="4"/>
  </w:num>
  <w:num w:numId="2" w16cid:durableId="1617253012">
    <w:abstractNumId w:val="1"/>
  </w:num>
  <w:num w:numId="3" w16cid:durableId="495733808">
    <w:abstractNumId w:val="0"/>
  </w:num>
  <w:num w:numId="4" w16cid:durableId="1234657818">
    <w:abstractNumId w:val="2"/>
  </w:num>
  <w:num w:numId="5" w16cid:durableId="419833227">
    <w:abstractNumId w:val="5"/>
  </w:num>
  <w:num w:numId="6" w16cid:durableId="639765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A9"/>
    <w:rsid w:val="00160B1D"/>
    <w:rsid w:val="001C007A"/>
    <w:rsid w:val="00204C88"/>
    <w:rsid w:val="002158E1"/>
    <w:rsid w:val="002F2805"/>
    <w:rsid w:val="004C3AB3"/>
    <w:rsid w:val="00626F22"/>
    <w:rsid w:val="006E77BB"/>
    <w:rsid w:val="00887EFE"/>
    <w:rsid w:val="008C13A9"/>
    <w:rsid w:val="008C2086"/>
    <w:rsid w:val="00924158"/>
    <w:rsid w:val="00930BB0"/>
    <w:rsid w:val="00991D60"/>
    <w:rsid w:val="009D694A"/>
    <w:rsid w:val="00A314FE"/>
    <w:rsid w:val="00C34008"/>
    <w:rsid w:val="00CB016E"/>
    <w:rsid w:val="00E031F6"/>
    <w:rsid w:val="00E30C5E"/>
    <w:rsid w:val="00E51EB3"/>
    <w:rsid w:val="00F0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B193"/>
  <w15:chartTrackingRefBased/>
  <w15:docId w15:val="{F2CBE926-1562-4093-A1C8-33791579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3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3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3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3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3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3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3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3A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1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3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22"/>
  </w:style>
  <w:style w:type="paragraph" w:styleId="Footer">
    <w:name w:val="footer"/>
    <w:basedOn w:val="Normal"/>
    <w:link w:val="FooterChar"/>
    <w:uiPriority w:val="99"/>
    <w:unhideWhenUsed/>
    <w:rsid w:val="00626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@sena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Steluta Monica Gheorghe</dc:creator>
  <cp:keywords/>
  <dc:description/>
  <cp:lastModifiedBy>Steluta Monica Gheorghe</cp:lastModifiedBy>
  <cp:revision>2</cp:revision>
  <cp:lastPrinted>2025-03-18T06:55:00Z</cp:lastPrinted>
  <dcterms:created xsi:type="dcterms:W3CDTF">2025-03-20T08:09:00Z</dcterms:created>
  <dcterms:modified xsi:type="dcterms:W3CDTF">2025-03-20T08:09:00Z</dcterms:modified>
</cp:coreProperties>
</file>